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47" w:rsidRPr="008F2828" w:rsidRDefault="000F6EED" w:rsidP="00AE154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Anexa nr.1</w:t>
      </w:r>
    </w:p>
    <w:p w:rsidR="00AE1547" w:rsidRPr="008F2828" w:rsidRDefault="00AE1547" w:rsidP="00AE154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AE1547" w:rsidRPr="008F2828" w:rsidRDefault="00AE1547" w:rsidP="00AE154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055B8" w:rsidRPr="008F2828" w:rsidRDefault="00AE1547" w:rsidP="008055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b/>
          <w:sz w:val="24"/>
          <w:szCs w:val="24"/>
          <w:lang w:val="ro-MO"/>
        </w:rPr>
        <w:t>F</w:t>
      </w:r>
      <w:r w:rsidR="00A07697" w:rsidRPr="008F2828">
        <w:rPr>
          <w:rFonts w:ascii="Times New Roman" w:hAnsi="Times New Roman" w:cs="Times New Roman"/>
          <w:b/>
          <w:sz w:val="24"/>
          <w:szCs w:val="24"/>
          <w:lang w:val="ro-MO"/>
        </w:rPr>
        <w:t xml:space="preserve">actorii </w:t>
      </w:r>
      <w:r w:rsidR="008055B8" w:rsidRPr="008F2828">
        <w:rPr>
          <w:rFonts w:ascii="Times New Roman" w:hAnsi="Times New Roman" w:cs="Times New Roman"/>
          <w:b/>
          <w:sz w:val="24"/>
          <w:szCs w:val="24"/>
          <w:lang w:val="ro-MO"/>
        </w:rPr>
        <w:t xml:space="preserve">care generează riscuri reduse </w:t>
      </w:r>
      <w:r w:rsidR="000403AE" w:rsidRPr="008F2828">
        <w:rPr>
          <w:rFonts w:ascii="Times New Roman" w:hAnsi="Times New Roman" w:cs="Times New Roman"/>
          <w:b/>
          <w:sz w:val="24"/>
          <w:szCs w:val="24"/>
          <w:lang w:val="ro-MO"/>
        </w:rPr>
        <w:t>și</w:t>
      </w:r>
      <w:r w:rsidR="008055B8" w:rsidRPr="008F2828">
        <w:rPr>
          <w:rFonts w:ascii="Times New Roman" w:hAnsi="Times New Roman" w:cs="Times New Roman"/>
          <w:b/>
          <w:sz w:val="24"/>
          <w:szCs w:val="24"/>
          <w:lang w:val="ro-MO"/>
        </w:rPr>
        <w:t xml:space="preserve"> sporite</w:t>
      </w:r>
    </w:p>
    <w:p w:rsidR="008750F9" w:rsidRPr="008F2828" w:rsidRDefault="008055B8" w:rsidP="008055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b/>
          <w:sz w:val="24"/>
          <w:szCs w:val="24"/>
          <w:lang w:val="ro-MO"/>
        </w:rPr>
        <w:t xml:space="preserve">de spălare a banilor </w:t>
      </w:r>
      <w:r w:rsidR="000403AE" w:rsidRPr="008F2828">
        <w:rPr>
          <w:rFonts w:ascii="Times New Roman" w:hAnsi="Times New Roman" w:cs="Times New Roman"/>
          <w:b/>
          <w:sz w:val="24"/>
          <w:szCs w:val="24"/>
          <w:lang w:val="ro-MO"/>
        </w:rPr>
        <w:t>și</w:t>
      </w:r>
      <w:r w:rsidRPr="008F2828">
        <w:rPr>
          <w:rFonts w:ascii="Times New Roman" w:hAnsi="Times New Roman" w:cs="Times New Roman"/>
          <w:b/>
          <w:sz w:val="24"/>
          <w:szCs w:val="24"/>
          <w:lang w:val="ro-MO"/>
        </w:rPr>
        <w:t xml:space="preserve"> de finanțare a terorismului</w:t>
      </w:r>
    </w:p>
    <w:p w:rsidR="008055B8" w:rsidRPr="008F2828" w:rsidRDefault="008055B8" w:rsidP="008055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b/>
          <w:sz w:val="24"/>
          <w:szCs w:val="24"/>
          <w:lang w:val="ro-MO"/>
        </w:rPr>
        <w:t>în domeniul metalelor prețioase și pietre prețioase</w:t>
      </w:r>
    </w:p>
    <w:p w:rsidR="000403AE" w:rsidRPr="008F2828" w:rsidRDefault="000403AE" w:rsidP="008055B8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0403AE" w:rsidRPr="008F2828" w:rsidRDefault="000403AE" w:rsidP="00CE2913">
      <w:pPr>
        <w:pStyle w:val="a3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5F342A" w:rsidRPr="008F2828" w:rsidRDefault="00A07697" w:rsidP="00CE2913">
      <w:pPr>
        <w:pStyle w:val="a3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Prezentul Raport este elaborat în conformitate cu  prevederile art.6 alin.(11) al Legii nr.308 din 22.12.2017 cu privire la prevenirea și combaterea spălării banilor și finanțării terorismului și pct.3 al </w:t>
      </w:r>
      <w:proofErr w:type="spellStart"/>
      <w:r w:rsidRPr="008F2828">
        <w:rPr>
          <w:rFonts w:ascii="Times New Roman" w:hAnsi="Times New Roman" w:cs="Times New Roman"/>
          <w:sz w:val="24"/>
          <w:szCs w:val="24"/>
          <w:lang w:val="ro-MO"/>
        </w:rPr>
        <w:t>Hotărîrii</w:t>
      </w:r>
      <w:proofErr w:type="spellEnd"/>
      <w:r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 Guvernului nr.496 din 25.05.2018 pentru aprobarea Metodologiei privind identificarea activităților și tranzacțiilor suspecte de spălare a banilor și finanțare a terorismului</w:t>
      </w:r>
    </w:p>
    <w:p w:rsidR="00A07697" w:rsidRPr="008F2828" w:rsidRDefault="00A07697" w:rsidP="005F342A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</w:p>
    <w:p w:rsidR="009B1EDE" w:rsidRPr="008F2828" w:rsidRDefault="009B1EDE" w:rsidP="009B1ED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Riscului de spălare a banilor și finanțare a terorismului în domeniul metalelor prețioase și pietrelor prețioase sunt supuse genurile licențiate de activitate: fabricarea, repararea,  comercializarea, achiziționarea articolelor din metale prețioase și pietre prețioase, funcționarea caselor de amanet (lombardurilor). Riscurile pe domenii de activitate sunt:</w:t>
      </w:r>
    </w:p>
    <w:p w:rsidR="009B1EDE" w:rsidRPr="008F2828" w:rsidRDefault="009B1EDE" w:rsidP="005F342A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</w:p>
    <w:p w:rsidR="000F1740" w:rsidRPr="008F2828" w:rsidRDefault="000F1740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FF0000"/>
          <w:sz w:val="24"/>
          <w:szCs w:val="24"/>
          <w:lang w:val="ro-MO"/>
        </w:rPr>
        <w:tab/>
      </w:r>
      <w:r w:rsidRPr="008F2828">
        <w:rPr>
          <w:rFonts w:ascii="Times New Roman" w:hAnsi="Times New Roman" w:cs="Times New Roman"/>
          <w:sz w:val="24"/>
          <w:szCs w:val="24"/>
          <w:lang w:val="ro-MO"/>
        </w:rPr>
        <w:t>1. La fabricarea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, reparare articolelor din metale prețioase</w:t>
      </w:r>
      <w:r w:rsidR="009B1EDE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și pietre prețioase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:</w:t>
      </w:r>
    </w:p>
    <w:p w:rsidR="000F1740" w:rsidRPr="008F2828" w:rsidRDefault="000F1740" w:rsidP="000F174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a) </w:t>
      </w:r>
      <w:r w:rsidR="005F35D4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 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legalizarea metalelor prețioase provenite din activitatea tenebră;</w:t>
      </w:r>
    </w:p>
    <w:p w:rsidR="000F1740" w:rsidRPr="008F2828" w:rsidRDefault="005F35D4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b) </w:t>
      </w:r>
      <w:r w:rsidR="000F1740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introducerea ilegală a articolelor din metale prețioase de producție străină  și legalizarea acestora ca  articole de producere proprie;</w:t>
      </w:r>
    </w:p>
    <w:p w:rsidR="000F1740" w:rsidRPr="008F2828" w:rsidRDefault="000F1740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c) </w:t>
      </w:r>
      <w:r w:rsidR="005F35D4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  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marcarea articolelor din metale prețioase cu marcaj fals.</w:t>
      </w:r>
    </w:p>
    <w:p w:rsidR="000F1740" w:rsidRPr="008F2828" w:rsidRDefault="009B1EDE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2. La </w:t>
      </w:r>
      <w:r w:rsidR="000F1740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comercializarea</w:t>
      </w:r>
      <w:r w:rsidR="00DF7246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,</w:t>
      </w:r>
      <w:r w:rsidR="000F1740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</w:t>
      </w:r>
      <w:r w:rsidR="00DF7246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achiziționarea</w:t>
      </w:r>
      <w:r w:rsidR="000F1740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articolelor din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metale prețioase și pietre prețioase</w:t>
      </w:r>
      <w:r w:rsidR="000F1740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:</w:t>
      </w:r>
    </w:p>
    <w:p w:rsidR="00C97D32" w:rsidRPr="008F2828" w:rsidRDefault="00C97D32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          a) introducerea ilegală în țară a articolelor din metale prețioase și pietre prețioase și comercializarea acestora prin rețeaua comerțului cu amănuntul;</w:t>
      </w:r>
    </w:p>
    <w:p w:rsidR="000F1740" w:rsidRPr="008F2828" w:rsidRDefault="00C97D32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>b</w:t>
      </w:r>
      <w:r w:rsidR="000F1740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) comercializarea articolelor din metale prețioase în lipsa marcajului de stat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și/sau cu amprente ale semnelor de marcare de stat falsificate;</w:t>
      </w:r>
    </w:p>
    <w:p w:rsidR="000F1740" w:rsidRPr="008F2828" w:rsidRDefault="000F1740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c) eschivarea de la procedura de </w:t>
      </w:r>
      <w:r w:rsidR="00DF7246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prezentare a buletinului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la procurarea articolelor din metale prețioase și pietre prețioase valoarea cărora depășește </w:t>
      </w:r>
      <w:r w:rsidR="00DF7246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2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00000  de lei, în cazul în care plățile sunt efectuate în numerar.</w:t>
      </w:r>
    </w:p>
    <w:p w:rsidR="000F1740" w:rsidRPr="008F2828" w:rsidRDefault="006F6D1B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</w:r>
      <w:r w:rsidR="00C97D32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3</w:t>
      </w:r>
      <w:r w:rsidR="000F1740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. Risc identificat pentru casele de amanet (lombarduri) este: </w:t>
      </w:r>
    </w:p>
    <w:p w:rsidR="00C97D32" w:rsidRPr="008F2828" w:rsidRDefault="00C97D32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a) </w:t>
      </w:r>
      <w:r w:rsidR="00AE1547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riscul de necunoaștere a </w:t>
      </w: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 beneficiarului efectiv;</w:t>
      </w:r>
    </w:p>
    <w:p w:rsidR="00C97D32" w:rsidRPr="008F2828" w:rsidRDefault="00C97D32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>b) amanetarea articolelor din metale prețioase  provenite din activitate ilicită</w:t>
      </w:r>
    </w:p>
    <w:p w:rsidR="000F1740" w:rsidRPr="008F2828" w:rsidRDefault="00AE1547" w:rsidP="000F17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ab/>
        <w:t xml:space="preserve">c) </w:t>
      </w:r>
      <w:r w:rsidR="000F1740" w:rsidRPr="008F2828">
        <w:rPr>
          <w:rFonts w:ascii="Times New Roman" w:hAnsi="Times New Roman" w:cs="Times New Roman"/>
          <w:color w:val="000000"/>
          <w:sz w:val="24"/>
          <w:szCs w:val="24"/>
          <w:lang w:val="ro-MO"/>
        </w:rPr>
        <w:t>legalizarea, prin rețeaua comerțului cu amănuntul, a articolelor din metale prețioase  provenite de la casele de amanet.</w:t>
      </w:r>
    </w:p>
    <w:p w:rsidR="00CA7F2E" w:rsidRPr="008F2828" w:rsidRDefault="00CA7F2E" w:rsidP="00CA7F2E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</w:p>
    <w:p w:rsidR="00CA7F2E" w:rsidRPr="008F2828" w:rsidRDefault="005A1CED" w:rsidP="00F62A20">
      <w:pPr>
        <w:pStyle w:val="a3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Totodată, </w:t>
      </w:r>
      <w:r w:rsidR="00CA7F2E" w:rsidRPr="008F2828">
        <w:rPr>
          <w:rFonts w:ascii="Times New Roman" w:hAnsi="Times New Roman" w:cs="Times New Roman"/>
          <w:sz w:val="24"/>
          <w:szCs w:val="24"/>
          <w:lang w:val="ro-MO"/>
        </w:rPr>
        <w:t>entitățile raportoare vor acorda atenție sporită activităților și tranzacțiilor cu clienții:</w:t>
      </w:r>
      <w:r w:rsidR="00CA7F2E" w:rsidRPr="008F2828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CA7F2E" w:rsidRPr="008F2828" w:rsidRDefault="00CA7F2E" w:rsidP="00F62A20">
      <w:pPr>
        <w:pStyle w:val="a3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sz w:val="24"/>
          <w:szCs w:val="24"/>
          <w:lang w:val="ro-MO"/>
        </w:rPr>
        <w:t>care își au reședința</w:t>
      </w:r>
      <w:r w:rsidR="00F62A20"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 în jurisdicțiile cu risc sporit de spălare a banilor și finanțare a terorismului</w:t>
      </w:r>
      <w:r w:rsidR="003F6255"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 (</w:t>
      </w:r>
      <w:r w:rsidR="000F6EED">
        <w:rPr>
          <w:rFonts w:ascii="Times New Roman" w:hAnsi="Times New Roman" w:cs="Times New Roman"/>
          <w:sz w:val="24"/>
          <w:szCs w:val="24"/>
          <w:lang w:val="ro-MO"/>
        </w:rPr>
        <w:t>conform anexei</w:t>
      </w:r>
      <w:r w:rsidR="003F6255" w:rsidRPr="008F2828">
        <w:rPr>
          <w:rFonts w:ascii="Times New Roman" w:hAnsi="Times New Roman" w:cs="Times New Roman"/>
          <w:sz w:val="24"/>
          <w:szCs w:val="24"/>
          <w:lang w:val="ro-MO"/>
        </w:rPr>
        <w:t>)</w:t>
      </w:r>
      <w:r w:rsidR="00F62A20" w:rsidRPr="008F2828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CA7F2E" w:rsidRPr="008F2828" w:rsidRDefault="00F62A20" w:rsidP="00F62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din </w:t>
      </w:r>
      <w:r w:rsidR="00CA7F2E"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localitățile din </w:t>
      </w:r>
      <w:proofErr w:type="spellStart"/>
      <w:r w:rsidR="00CA7F2E" w:rsidRPr="008F2828">
        <w:rPr>
          <w:rFonts w:ascii="Times New Roman" w:hAnsi="Times New Roman" w:cs="Times New Roman"/>
          <w:sz w:val="24"/>
          <w:szCs w:val="24"/>
          <w:lang w:val="ro-MO"/>
        </w:rPr>
        <w:t>stînga</w:t>
      </w:r>
      <w:proofErr w:type="spellEnd"/>
      <w:r w:rsidR="00CA7F2E"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 Nistrului și municipiul Bender;</w:t>
      </w:r>
    </w:p>
    <w:p w:rsidR="00CA7F2E" w:rsidRPr="008F2828" w:rsidRDefault="00F62A20" w:rsidP="00F62A20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276"/>
          <w:tab w:val="left" w:pos="1701"/>
        </w:tabs>
        <w:ind w:left="0" w:firstLine="70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F2828">
        <w:rPr>
          <w:rFonts w:ascii="Times New Roman" w:hAnsi="Times New Roman" w:cs="Times New Roman"/>
          <w:sz w:val="24"/>
          <w:szCs w:val="24"/>
          <w:lang w:val="ro-MO"/>
        </w:rPr>
        <w:t xml:space="preserve"> din țările de destinație care sunt supuse unor sancțiuni, embargouri sau măsuri similare, instituite de către organizațiile internaționale de profil</w:t>
      </w:r>
      <w:r w:rsidR="003F6255" w:rsidRPr="008F2828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0F6EED" w:rsidRDefault="000F6EED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>Anex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11EB9" w:rsidRPr="008F2828" w:rsidRDefault="00011EB9" w:rsidP="00011EB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MO"/>
        </w:rPr>
      </w:pPr>
    </w:p>
    <w:p w:rsidR="00011EB9" w:rsidRPr="008F2828" w:rsidRDefault="00011EB9" w:rsidP="00011EB9">
      <w:pPr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val="ro-MO"/>
        </w:rPr>
      </w:pPr>
      <w:r w:rsidRPr="008F2828">
        <w:rPr>
          <w:rFonts w:ascii="Cambria" w:eastAsia="Times New Roman" w:hAnsi="Cambria" w:cs="Times New Roman"/>
          <w:b/>
          <w:bCs/>
          <w:sz w:val="28"/>
          <w:szCs w:val="28"/>
          <w:lang w:val="ro-MO"/>
        </w:rPr>
        <w:t xml:space="preserve">ŢĂRILE </w:t>
      </w:r>
    </w:p>
    <w:p w:rsidR="00011EB9" w:rsidRPr="008F2828" w:rsidRDefault="00011EB9" w:rsidP="00011EB9">
      <w:pPr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ro-MO"/>
        </w:rPr>
      </w:pPr>
      <w:r w:rsidRPr="008F2828">
        <w:rPr>
          <w:rFonts w:ascii="Cambria" w:eastAsia="Times New Roman" w:hAnsi="Cambria" w:cs="Times New Roman"/>
          <w:b/>
          <w:bCs/>
          <w:sz w:val="28"/>
          <w:szCs w:val="28"/>
          <w:lang w:val="ro-MO"/>
        </w:rPr>
        <w:t xml:space="preserve">necooperante şi cu risc sporit în spălarea banilor şi finanţarea terorismului </w:t>
      </w:r>
    </w:p>
    <w:p w:rsidR="00011EB9" w:rsidRPr="008F2828" w:rsidRDefault="00011EB9" w:rsidP="00011EB9">
      <w:pPr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ro-MO"/>
        </w:rPr>
      </w:pPr>
    </w:p>
    <w:tbl>
      <w:tblPr>
        <w:tblStyle w:val="a4"/>
        <w:tblW w:w="0" w:type="auto"/>
        <w:tblInd w:w="1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08"/>
        <w:gridCol w:w="1000"/>
        <w:gridCol w:w="2292"/>
      </w:tblGrid>
      <w:tr w:rsidR="00011EB9" w:rsidRPr="008F2828" w:rsidTr="008B04D0">
        <w:tc>
          <w:tcPr>
            <w:tcW w:w="3108" w:type="dxa"/>
          </w:tcPr>
          <w:p w:rsidR="00011EB9" w:rsidRPr="008F2828" w:rsidRDefault="00011EB9" w:rsidP="008B04D0">
            <w:pPr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Ţara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Cod ISO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sz w:val="24"/>
                <w:szCs w:val="24"/>
                <w:lang w:val="ro-MO"/>
              </w:rPr>
              <w:t>Codul ţării conform clasificatorului BNM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Coreea,Republica Populară Democrată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KP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408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Etiopia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ET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231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Iran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IR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364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  <w:tab w:val="left" w:pos="392"/>
                <w:tab w:val="left" w:pos="438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Bolivia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BO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068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  <w:tab w:val="left" w:pos="392"/>
                <w:tab w:val="left" w:pos="438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Cuba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CU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192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  <w:tab w:val="left" w:pos="392"/>
                <w:tab w:val="left" w:pos="438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 xml:space="preserve">Kenya 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KE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404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  <w:tab w:val="left" w:pos="392"/>
                <w:tab w:val="left" w:pos="438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Myanmar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8F2828">
              <w:rPr>
                <w:b/>
                <w:sz w:val="24"/>
                <w:szCs w:val="24"/>
                <w:lang w:val="ro-MO"/>
              </w:rPr>
              <w:t>MM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8F2828">
              <w:rPr>
                <w:b/>
                <w:sz w:val="24"/>
                <w:szCs w:val="24"/>
                <w:lang w:val="ro-MO"/>
              </w:rPr>
              <w:t>104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  <w:tab w:val="left" w:pos="392"/>
                <w:tab w:val="left" w:pos="438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Sri Lanka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8F2828">
              <w:rPr>
                <w:b/>
                <w:sz w:val="24"/>
                <w:szCs w:val="24"/>
                <w:lang w:val="ro-MO"/>
              </w:rPr>
              <w:t>LK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8F2828">
              <w:rPr>
                <w:b/>
                <w:sz w:val="24"/>
                <w:szCs w:val="24"/>
                <w:lang w:val="ro-MO"/>
              </w:rPr>
              <w:t>144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  <w:tab w:val="left" w:pos="392"/>
                <w:tab w:val="left" w:pos="438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Araba Siria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SY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760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4"/>
              </w:numPr>
              <w:tabs>
                <w:tab w:val="clear" w:pos="720"/>
                <w:tab w:val="left" w:pos="292"/>
                <w:tab w:val="left" w:pos="392"/>
                <w:tab w:val="left" w:pos="438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Turcia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TR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792</w:t>
            </w:r>
          </w:p>
        </w:tc>
      </w:tr>
    </w:tbl>
    <w:p w:rsidR="00011EB9" w:rsidRPr="008F2828" w:rsidRDefault="00011EB9" w:rsidP="00011EB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MO"/>
        </w:rPr>
      </w:pPr>
    </w:p>
    <w:p w:rsidR="00011EB9" w:rsidRPr="008F2828" w:rsidRDefault="00011EB9" w:rsidP="00011EB9">
      <w:pPr>
        <w:jc w:val="center"/>
        <w:outlineLvl w:val="0"/>
        <w:rPr>
          <w:b/>
          <w:bCs/>
          <w:sz w:val="28"/>
          <w:szCs w:val="28"/>
          <w:lang w:val="ro-MO"/>
        </w:rPr>
      </w:pPr>
      <w:r w:rsidRPr="008F2828">
        <w:rPr>
          <w:b/>
          <w:bCs/>
          <w:sz w:val="28"/>
          <w:szCs w:val="28"/>
          <w:lang w:val="ro-MO"/>
        </w:rPr>
        <w:t xml:space="preserve">ŢĂRILE </w:t>
      </w:r>
    </w:p>
    <w:p w:rsidR="00011EB9" w:rsidRPr="008F2828" w:rsidRDefault="00011EB9" w:rsidP="00011EB9">
      <w:pPr>
        <w:jc w:val="center"/>
        <w:rPr>
          <w:b/>
          <w:bCs/>
          <w:sz w:val="28"/>
          <w:szCs w:val="28"/>
          <w:lang w:val="ro-MO"/>
        </w:rPr>
      </w:pPr>
      <w:r w:rsidRPr="008F2828">
        <w:rPr>
          <w:b/>
          <w:bCs/>
          <w:sz w:val="28"/>
          <w:szCs w:val="28"/>
          <w:lang w:val="ro-MO"/>
        </w:rPr>
        <w:t>care nu dispun de norme suficiente în spălarea banilor şi finanţarea terorismului (proces continuu)</w:t>
      </w:r>
    </w:p>
    <w:p w:rsidR="00011EB9" w:rsidRPr="008F2828" w:rsidRDefault="00011EB9" w:rsidP="00011EB9">
      <w:pPr>
        <w:jc w:val="center"/>
        <w:rPr>
          <w:b/>
          <w:bCs/>
          <w:sz w:val="28"/>
          <w:szCs w:val="28"/>
          <w:lang w:val="ro-MO"/>
        </w:rPr>
      </w:pPr>
    </w:p>
    <w:tbl>
      <w:tblPr>
        <w:tblStyle w:val="a4"/>
        <w:tblW w:w="0" w:type="auto"/>
        <w:tblInd w:w="1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08"/>
        <w:gridCol w:w="1000"/>
        <w:gridCol w:w="2292"/>
      </w:tblGrid>
      <w:tr w:rsidR="00011EB9" w:rsidRPr="008F2828" w:rsidTr="008B04D0">
        <w:tc>
          <w:tcPr>
            <w:tcW w:w="3108" w:type="dxa"/>
          </w:tcPr>
          <w:p w:rsidR="00011EB9" w:rsidRPr="008F2828" w:rsidRDefault="00011EB9" w:rsidP="008B04D0">
            <w:pPr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Ţara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Cod ISO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sz w:val="24"/>
                <w:szCs w:val="24"/>
                <w:lang w:val="ro-MO"/>
              </w:rPr>
              <w:t>Codul ţării conform clasificatorului BNM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Angola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AO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024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Antigua şi Barbados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AG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028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Argentina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AR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032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Bangladesh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BD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050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 xml:space="preserve">Brunei </w:t>
            </w:r>
            <w:proofErr w:type="spellStart"/>
            <w:r w:rsidRPr="008F2828">
              <w:rPr>
                <w:bCs/>
                <w:sz w:val="24"/>
                <w:szCs w:val="24"/>
                <w:lang w:val="ro-MO"/>
              </w:rPr>
              <w:t>Darussalam</w:t>
            </w:r>
            <w:proofErr w:type="spellEnd"/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BN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096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proofErr w:type="spellStart"/>
            <w:r w:rsidRPr="008F2828">
              <w:rPr>
                <w:bCs/>
                <w:sz w:val="24"/>
                <w:szCs w:val="24"/>
                <w:lang w:val="ro-MO"/>
              </w:rPr>
              <w:t>Cambodjia</w:t>
            </w:r>
            <w:proofErr w:type="spellEnd"/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KH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898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Ecuador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EC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218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Ghana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GH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288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Honduras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HN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340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Indonezia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ID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360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lastRenderedPageBreak/>
              <w:t>Mongolia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MN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496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Maroc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MA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504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Namibia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NA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516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 xml:space="preserve">Nepal 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NP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524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Nicaragua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NI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558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Nigeria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NG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566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Pakistan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PK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586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Paraguay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PY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600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3"/>
              </w:numPr>
              <w:tabs>
                <w:tab w:val="left" w:pos="392"/>
              </w:tabs>
              <w:spacing w:line="240" w:lineRule="auto"/>
              <w:ind w:left="292" w:hanging="300"/>
              <w:rPr>
                <w:sz w:val="24"/>
                <w:szCs w:val="24"/>
                <w:lang w:val="ro-MO"/>
              </w:rPr>
            </w:pPr>
            <w:r w:rsidRPr="008F2828">
              <w:rPr>
                <w:sz w:val="24"/>
                <w:szCs w:val="24"/>
                <w:lang w:val="ro-MO"/>
              </w:rPr>
              <w:t>Filipine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8F2828">
              <w:rPr>
                <w:b/>
                <w:sz w:val="24"/>
                <w:szCs w:val="24"/>
                <w:lang w:val="ro-MO"/>
              </w:rPr>
              <w:t>PH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8F2828">
              <w:rPr>
                <w:b/>
                <w:sz w:val="24"/>
                <w:szCs w:val="24"/>
                <w:lang w:val="ro-MO"/>
              </w:rPr>
              <w:t>608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Sudan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SD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736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Tadjikistan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TJ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762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Tanzania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TZ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834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>Thailanda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TH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764</w:t>
            </w:r>
          </w:p>
        </w:tc>
      </w:tr>
      <w:tr w:rsidR="00011EB9" w:rsidRPr="008F2828" w:rsidTr="008B04D0">
        <w:tc>
          <w:tcPr>
            <w:tcW w:w="3108" w:type="dxa"/>
          </w:tcPr>
          <w:p w:rsidR="00011EB9" w:rsidRPr="008F2828" w:rsidRDefault="00011EB9" w:rsidP="00011EB9">
            <w:pPr>
              <w:numPr>
                <w:ilvl w:val="0"/>
                <w:numId w:val="5"/>
              </w:numPr>
              <w:tabs>
                <w:tab w:val="clear" w:pos="720"/>
                <w:tab w:val="left" w:pos="392"/>
              </w:tabs>
              <w:spacing w:line="240" w:lineRule="auto"/>
              <w:ind w:left="292" w:hanging="300"/>
              <w:rPr>
                <w:bCs/>
                <w:sz w:val="24"/>
                <w:szCs w:val="24"/>
                <w:lang w:val="ro-MO"/>
              </w:rPr>
            </w:pPr>
            <w:r w:rsidRPr="008F2828">
              <w:rPr>
                <w:bCs/>
                <w:sz w:val="24"/>
                <w:szCs w:val="24"/>
                <w:lang w:val="ro-MO"/>
              </w:rPr>
              <w:t xml:space="preserve">Principatul Sao Tome </w:t>
            </w:r>
          </w:p>
        </w:tc>
        <w:tc>
          <w:tcPr>
            <w:tcW w:w="1000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ST</w:t>
            </w:r>
          </w:p>
        </w:tc>
        <w:tc>
          <w:tcPr>
            <w:tcW w:w="2292" w:type="dxa"/>
          </w:tcPr>
          <w:p w:rsidR="00011EB9" w:rsidRPr="008F2828" w:rsidRDefault="00011EB9" w:rsidP="008B04D0">
            <w:pPr>
              <w:jc w:val="center"/>
              <w:rPr>
                <w:b/>
                <w:bCs/>
                <w:sz w:val="24"/>
                <w:szCs w:val="24"/>
                <w:lang w:val="ro-MO"/>
              </w:rPr>
            </w:pPr>
            <w:r w:rsidRPr="008F2828">
              <w:rPr>
                <w:b/>
                <w:bCs/>
                <w:sz w:val="24"/>
                <w:szCs w:val="24"/>
                <w:lang w:val="ro-MO"/>
              </w:rPr>
              <w:t>678</w:t>
            </w:r>
          </w:p>
        </w:tc>
      </w:tr>
    </w:tbl>
    <w:p w:rsidR="00011EB9" w:rsidRPr="008F2828" w:rsidRDefault="00011EB9" w:rsidP="00011EB9">
      <w:pPr>
        <w:rPr>
          <w:lang w:val="ro-MO"/>
        </w:rPr>
      </w:pPr>
    </w:p>
    <w:p w:rsidR="00011EB9" w:rsidRPr="008F2828" w:rsidRDefault="00011EB9" w:rsidP="00011EB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MO"/>
        </w:rPr>
      </w:pPr>
    </w:p>
    <w:p w:rsidR="00011EB9" w:rsidRPr="008F2828" w:rsidRDefault="00011EB9" w:rsidP="00011EB9">
      <w:pPr>
        <w:pStyle w:val="a3"/>
        <w:tabs>
          <w:tab w:val="left" w:pos="851"/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011EB9" w:rsidRPr="008F2828" w:rsidSect="0087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52CE"/>
    <w:multiLevelType w:val="hybridMultilevel"/>
    <w:tmpl w:val="5B787E66"/>
    <w:lvl w:ilvl="0" w:tplc="4C5011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FB70B0"/>
    <w:multiLevelType w:val="hybridMultilevel"/>
    <w:tmpl w:val="E29293F2"/>
    <w:lvl w:ilvl="0" w:tplc="3FD4F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DE7769"/>
    <w:multiLevelType w:val="hybridMultilevel"/>
    <w:tmpl w:val="9F88C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DF4E02"/>
    <w:multiLevelType w:val="hybridMultilevel"/>
    <w:tmpl w:val="80D28620"/>
    <w:lvl w:ilvl="0" w:tplc="D58CE9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48B55FE"/>
    <w:multiLevelType w:val="hybridMultilevel"/>
    <w:tmpl w:val="91341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5B8"/>
    <w:rsid w:val="00011EB9"/>
    <w:rsid w:val="000403AE"/>
    <w:rsid w:val="000F1740"/>
    <w:rsid w:val="000F6EED"/>
    <w:rsid w:val="002029B0"/>
    <w:rsid w:val="002F54D3"/>
    <w:rsid w:val="003B6147"/>
    <w:rsid w:val="003F6255"/>
    <w:rsid w:val="00456943"/>
    <w:rsid w:val="00546052"/>
    <w:rsid w:val="005A1CED"/>
    <w:rsid w:val="005F342A"/>
    <w:rsid w:val="005F35D4"/>
    <w:rsid w:val="006F6D1B"/>
    <w:rsid w:val="007F73CB"/>
    <w:rsid w:val="008055B8"/>
    <w:rsid w:val="008750F9"/>
    <w:rsid w:val="008F2828"/>
    <w:rsid w:val="009B1EDE"/>
    <w:rsid w:val="00A07697"/>
    <w:rsid w:val="00AE1547"/>
    <w:rsid w:val="00C97D32"/>
    <w:rsid w:val="00CA7F2E"/>
    <w:rsid w:val="00CE2913"/>
    <w:rsid w:val="00CE70FD"/>
    <w:rsid w:val="00DF7246"/>
    <w:rsid w:val="00E25A47"/>
    <w:rsid w:val="00E438CC"/>
    <w:rsid w:val="00EC6678"/>
    <w:rsid w:val="00F6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B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5B8"/>
    <w:pPr>
      <w:spacing w:after="0" w:line="240" w:lineRule="auto"/>
    </w:pPr>
  </w:style>
  <w:style w:type="table" w:styleId="a4">
    <w:name w:val="Table Grid"/>
    <w:basedOn w:val="a1"/>
    <w:rsid w:val="00011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Tatiana</cp:lastModifiedBy>
  <cp:revision>18</cp:revision>
  <dcterms:created xsi:type="dcterms:W3CDTF">2018-07-18T08:22:00Z</dcterms:created>
  <dcterms:modified xsi:type="dcterms:W3CDTF">2018-09-24T12:08:00Z</dcterms:modified>
</cp:coreProperties>
</file>